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C" w:rsidRDefault="001D7F2C" w:rsidP="001D7F2C">
      <w:pPr>
        <w:pStyle w:val="Appendix"/>
        <w:numPr>
          <w:ilvl w:val="0"/>
          <w:numId w:val="0"/>
        </w:numPr>
      </w:pPr>
      <w:bookmarkStart w:id="0" w:name="_GoBack"/>
      <w:bookmarkEnd w:id="0"/>
      <w:r>
        <w:t>PIM Readiness Checklist</w:t>
      </w:r>
    </w:p>
    <w:p w:rsidR="00A2434D" w:rsidRPr="008A1918" w:rsidRDefault="00A2434D" w:rsidP="008A1918">
      <w:pPr>
        <w:rPr>
          <w:lang w:eastAsia="en-US"/>
        </w:rPr>
      </w:pPr>
      <w:r w:rsidRPr="002E40F7">
        <w:rPr>
          <w:highlight w:val="yellow"/>
          <w:lang w:eastAsia="en-US"/>
        </w:rPr>
        <w:t>This checklist is:</w:t>
      </w:r>
    </w:p>
    <w:p w:rsidR="007563CC" w:rsidRPr="007563CC" w:rsidRDefault="007563CC" w:rsidP="008512F5">
      <w:pPr>
        <w:pStyle w:val="Tablebullet"/>
        <w:ind w:left="357" w:hanging="357"/>
        <w:rPr>
          <w:highlight w:val="yellow"/>
        </w:rPr>
      </w:pPr>
      <w:r w:rsidRPr="007563CC">
        <w:rPr>
          <w:highlight w:val="yellow"/>
          <w:lang w:eastAsia="en-US"/>
        </w:rPr>
        <w:t>for use by CDEM personnel responsible for preparing</w:t>
      </w:r>
      <w:r>
        <w:rPr>
          <w:highlight w:val="yellow"/>
          <w:lang w:eastAsia="en-US"/>
        </w:rPr>
        <w:t xml:space="preserve"> for PIM before an event occurs</w:t>
      </w:r>
    </w:p>
    <w:p w:rsidR="008512F5" w:rsidRPr="00D848E3" w:rsidRDefault="008512F5" w:rsidP="008512F5">
      <w:pPr>
        <w:pStyle w:val="Tablebullet"/>
        <w:ind w:left="357" w:hanging="357"/>
        <w:rPr>
          <w:highlight w:val="yellow"/>
        </w:rPr>
      </w:pPr>
      <w:r w:rsidRPr="00D848E3">
        <w:rPr>
          <w:highlight w:val="yellow"/>
        </w:rPr>
        <w:t>completed as part of readiness</w:t>
      </w:r>
    </w:p>
    <w:p w:rsidR="008512F5" w:rsidRPr="00D848E3" w:rsidRDefault="008512F5" w:rsidP="008512F5">
      <w:pPr>
        <w:pStyle w:val="Tablebullet"/>
        <w:ind w:left="357" w:hanging="357"/>
        <w:rPr>
          <w:highlight w:val="yellow"/>
        </w:rPr>
      </w:pPr>
      <w:r w:rsidRPr="00D848E3">
        <w:rPr>
          <w:highlight w:val="yellow"/>
        </w:rPr>
        <w:t>intended to be amended to reflect actual processes used by the PIM team</w:t>
      </w:r>
    </w:p>
    <w:p w:rsidR="008512F5" w:rsidRPr="00D848E3" w:rsidRDefault="008512F5" w:rsidP="008512F5">
      <w:pPr>
        <w:pStyle w:val="Tablebullet"/>
        <w:ind w:left="357" w:hanging="357"/>
        <w:rPr>
          <w:highlight w:val="yellow"/>
        </w:rPr>
      </w:pPr>
      <w:r w:rsidRPr="00D848E3">
        <w:rPr>
          <w:highlight w:val="yellow"/>
        </w:rPr>
        <w:t>intended to have text with green highlights replaced with the required information, and yellow highlights deleted</w:t>
      </w:r>
    </w:p>
    <w:p w:rsidR="008A1918" w:rsidRPr="008A1918" w:rsidRDefault="008A1918" w:rsidP="008A1918">
      <w:pPr>
        <w:rPr>
          <w:lang w:eastAsia="en-US"/>
        </w:rPr>
      </w:pPr>
      <w:r w:rsidRPr="008A1918">
        <w:rPr>
          <w:lang w:eastAsia="en-US"/>
        </w:rPr>
        <w:t xml:space="preserve">References are to sections in the </w:t>
      </w:r>
      <w:r w:rsidRPr="00A2434D">
        <w:rPr>
          <w:i/>
          <w:lang w:eastAsia="en-US"/>
        </w:rPr>
        <w:t>Public Information Management Director’s Guideline</w:t>
      </w:r>
      <w:r w:rsidRPr="008A1918">
        <w:rPr>
          <w:lang w:eastAsia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479"/>
      </w:tblGrid>
      <w:tr w:rsidR="008A1918" w:rsidRPr="008A1918" w:rsidTr="00521EFB">
        <w:tc>
          <w:tcPr>
            <w:tcW w:w="3227" w:type="dxa"/>
          </w:tcPr>
          <w:p w:rsidR="008A1918" w:rsidRPr="008A1918" w:rsidRDefault="008A1918" w:rsidP="008A1918">
            <w:pPr>
              <w:keepNext/>
              <w:keepLines/>
              <w:spacing w:before="200" w:line="240" w:lineRule="auto"/>
              <w:rPr>
                <w:rFonts w:eastAsia="Times New Roman"/>
                <w:b/>
                <w:bCs/>
                <w:color w:val="005A9B"/>
                <w:sz w:val="24"/>
                <w:szCs w:val="20"/>
              </w:rPr>
            </w:pPr>
            <w:r w:rsidRPr="008A1918">
              <w:rPr>
                <w:rFonts w:eastAsia="Times New Roman"/>
                <w:b/>
                <w:bCs/>
                <w:color w:val="005A9B"/>
                <w:sz w:val="24"/>
                <w:szCs w:val="20"/>
              </w:rPr>
              <w:t xml:space="preserve">Gathering information </w:t>
            </w:r>
          </w:p>
        </w:tc>
        <w:tc>
          <w:tcPr>
            <w:tcW w:w="7479" w:type="dxa"/>
            <w:vAlign w:val="bottom"/>
          </w:tcPr>
          <w:p w:rsidR="008A1918" w:rsidRPr="008A1918" w:rsidRDefault="008A1918" w:rsidP="003D104B">
            <w:r w:rsidRPr="008A1918">
              <w:t>(see</w:t>
            </w:r>
            <w:r w:rsidR="007563CC">
              <w:t xml:space="preserve"> section</w:t>
            </w:r>
            <w:r w:rsidRPr="008A1918">
              <w:t xml:space="preserve"> </w:t>
            </w:r>
            <w:r w:rsidR="003D104B">
              <w:t xml:space="preserve">3.1 </w:t>
            </w:r>
            <w:r w:rsidR="003D104B" w:rsidRPr="00107D37">
              <w:rPr>
                <w:rStyle w:val="Sectionname"/>
              </w:rPr>
              <w:t>Gathering information</w:t>
            </w:r>
            <w:r w:rsidR="003D104B">
              <w:t>)</w:t>
            </w:r>
          </w:p>
        </w:tc>
      </w:tr>
    </w:tbl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678"/>
        <w:gridCol w:w="567"/>
      </w:tblGrid>
      <w:tr w:rsidR="008A1918" w:rsidRPr="008A1918" w:rsidTr="00521EFB">
        <w:trPr>
          <w:trHeight w:val="214"/>
        </w:trPr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Contact database tasks:</w:t>
            </w:r>
          </w:p>
        </w:tc>
      </w:tr>
      <w:tr w:rsidR="008A1918" w:rsidRPr="008A1918" w:rsidTr="00521EFB">
        <w:tc>
          <w:tcPr>
            <w:tcW w:w="9923" w:type="dxa"/>
            <w:gridSpan w:val="3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tabs>
                <w:tab w:val="left" w:pos="2866"/>
              </w:tabs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database has been set up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c>
          <w:tcPr>
            <w:tcW w:w="9923" w:type="dxa"/>
            <w:gridSpan w:val="3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tabs>
                <w:tab w:val="left" w:pos="2866"/>
              </w:tabs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database is accessible to all potential members of a PIM team during an event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350"/>
        </w:trPr>
        <w:tc>
          <w:tcPr>
            <w:tcW w:w="9923" w:type="dxa"/>
            <w:gridSpan w:val="3"/>
            <w:tcBorders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database is updated every 3 months, any hard copies reissued, and users informed</w:t>
            </w:r>
          </w:p>
        </w:tc>
        <w:tc>
          <w:tcPr>
            <w:tcW w:w="567" w:type="dxa"/>
            <w:tcBorders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c>
          <w:tcPr>
            <w:tcW w:w="9923" w:type="dxa"/>
            <w:gridSpan w:val="3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appropriate email groups have been set up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c>
          <w:tcPr>
            <w:tcW w:w="9923" w:type="dxa"/>
            <w:gridSpan w:val="3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database includes people or organisations identified by people who carry out other roles in local authorities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14"/>
        </w:trPr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 xml:space="preserve">Database includes: </w:t>
            </w:r>
          </w:p>
          <w:p w:rsidR="008A1918" w:rsidRPr="008A1918" w:rsidRDefault="008A1918" w:rsidP="00107D37">
            <w:pPr>
              <w:pStyle w:val="Tableheadingnotbold"/>
            </w:pPr>
            <w:r w:rsidRPr="008A1918">
              <w:t>(* indicates local and national contact details are required)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National PIM Manager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Fire Service *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nearby CDEM Groups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Ambulance*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235E16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local CDEM roles that work with PIM (see</w:t>
            </w:r>
            <w:r w:rsidR="00235E16">
              <w:rPr>
                <w:lang w:eastAsia="en-US"/>
              </w:rPr>
              <w:t xml:space="preserve"> 3.1.1)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Police*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A34306" w:rsidRDefault="008A1918" w:rsidP="00A34306">
            <w:pPr>
              <w:spacing w:before="60" w:after="60" w:line="240" w:lineRule="auto"/>
              <w:rPr>
                <w:b/>
                <w:bCs/>
                <w:color w:val="FFFFFF"/>
                <w:lang w:eastAsia="en-US"/>
              </w:rPr>
            </w:pP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other local CDEM related organisations 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partner organisations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broadcasters* 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lifeline utilities*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newspapers*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hospital and health services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9923" w:type="dxa"/>
            <w:gridSpan w:val="3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community groups (including groups potentially isolated through disability, language, culture, or geography)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14"/>
        </w:trPr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Background information includes: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population size and demographics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maps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significant local industries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005A9B" w:themeColor="background2"/>
              <w:left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any likely/possible local emergencies, based on the risk profile from the CDEM Group Plan</w:t>
            </w:r>
          </w:p>
        </w:tc>
        <w:tc>
          <w:tcPr>
            <w:tcW w:w="567" w:type="dxa"/>
            <w:vMerge w:val="restart"/>
            <w:tcBorders>
              <w:top w:val="single" w:sz="12" w:space="0" w:color="005A9B" w:themeColor="background2"/>
              <w:left w:val="single" w:sz="6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cultural make-up and languages used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highlight w:val="cyan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vMerge w:val="restart"/>
            <w:tcBorders>
              <w:top w:val="single" w:sz="12" w:space="0" w:color="005A9B" w:themeColor="background2"/>
              <w:left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current and historical political, socio-economic, environmental, or operational issues that may affect outcomes</w:t>
            </w:r>
          </w:p>
        </w:tc>
        <w:tc>
          <w:tcPr>
            <w:tcW w:w="567" w:type="dxa"/>
            <w:vMerge w:val="restart"/>
            <w:tcBorders>
              <w:top w:val="single" w:sz="12" w:space="0" w:color="005A9B" w:themeColor="background2"/>
              <w:left w:val="single" w:sz="6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previous emergencies in the region, or nationally  (for comparisons)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vMerge/>
            <w:tcBorders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summaries of relevant scientific information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14"/>
        </w:trPr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Supporting CDEM information held and understood by PIM team members includes:</w:t>
            </w: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local, regional, and national CDEM structures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GEMOs’ and EMOs’ relationship with MCDEM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local and regional CDEM public education programmes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CDEM process for sending out a </w:t>
            </w:r>
            <w:r w:rsidRPr="008A1918">
              <w:rPr>
                <w:i/>
                <w:lang w:eastAsia="en-US"/>
              </w:rPr>
              <w:t>Request for broadcast/termination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40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the region’s CDEM Group Plan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National CDEM Plan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40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readiness roles of local and regional CDEM staff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readiness roles of local CDEM volunteers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40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response roles of local and regional CDEM staff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response roles of local CDEM volunteers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240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recovery roles of local and regional CDEM staff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recovery roles of local CDEM volunteers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</w:tbl>
    <w:p w:rsidR="008A1918" w:rsidRPr="008A1918" w:rsidRDefault="008A1918" w:rsidP="008A1918">
      <w:pPr>
        <w:rPr>
          <w:lang w:eastAsia="en-US"/>
        </w:rPr>
      </w:pPr>
    </w:p>
    <w:p w:rsidR="008A1918" w:rsidRPr="008A1918" w:rsidRDefault="008A1918" w:rsidP="00107D37">
      <w:pPr>
        <w:pStyle w:val="Tinyline"/>
        <w:rPr>
          <w:lang w:eastAsia="en-US"/>
        </w:rPr>
      </w:pPr>
      <w:r w:rsidRPr="008A1918">
        <w:rPr>
          <w:lang w:eastAsia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7533"/>
      </w:tblGrid>
      <w:tr w:rsidR="00BA1C29" w:rsidRPr="008A1918" w:rsidTr="00521EFB">
        <w:tc>
          <w:tcPr>
            <w:tcW w:w="3085" w:type="dxa"/>
          </w:tcPr>
          <w:p w:rsidR="008A1918" w:rsidRPr="008A1918" w:rsidRDefault="008A1918" w:rsidP="008A1918">
            <w:pPr>
              <w:keepNext/>
              <w:keepLines/>
              <w:spacing w:before="200" w:line="240" w:lineRule="auto"/>
              <w:rPr>
                <w:rFonts w:eastAsia="Times New Roman"/>
                <w:b/>
                <w:bCs/>
                <w:color w:val="005A9B"/>
                <w:sz w:val="24"/>
                <w:szCs w:val="20"/>
              </w:rPr>
            </w:pPr>
            <w:r w:rsidRPr="008A1918">
              <w:rPr>
                <w:rFonts w:eastAsia="Times New Roman"/>
                <w:b/>
                <w:bCs/>
                <w:color w:val="005A9B"/>
                <w:sz w:val="24"/>
                <w:szCs w:val="20"/>
              </w:rPr>
              <w:lastRenderedPageBreak/>
              <w:t>Fostering relationships</w:t>
            </w:r>
          </w:p>
        </w:tc>
        <w:tc>
          <w:tcPr>
            <w:tcW w:w="7621" w:type="dxa"/>
            <w:vAlign w:val="bottom"/>
          </w:tcPr>
          <w:p w:rsidR="008A1918" w:rsidRPr="008A1918" w:rsidRDefault="008A1918" w:rsidP="00F9309F">
            <w:r w:rsidRPr="008A1918">
              <w:t>(see</w:t>
            </w:r>
            <w:r w:rsidR="007563CC">
              <w:t xml:space="preserve"> section</w:t>
            </w:r>
            <w:r w:rsidRPr="008A1918">
              <w:t xml:space="preserve"> </w:t>
            </w:r>
            <w:r w:rsidR="00F9309F">
              <w:t xml:space="preserve">3.2 </w:t>
            </w:r>
            <w:r w:rsidR="00F9309F" w:rsidRPr="00107D37">
              <w:rPr>
                <w:rStyle w:val="Sectionname"/>
              </w:rPr>
              <w:t>Fostering relationships</w:t>
            </w:r>
            <w:r w:rsidR="00F9309F">
              <w:t>)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  <w:gridCol w:w="567"/>
      </w:tblGrid>
      <w:tr w:rsidR="008A1918" w:rsidRPr="008A1918" w:rsidTr="00521EFB">
        <w:trPr>
          <w:trHeight w:val="214"/>
        </w:trPr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Contact is on-going with: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nearby CDEM Groups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Fire Service 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other territorial authority GEMOs and EMOs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Ambulance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235E16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local CDEM roles that work with PIM (refer </w:t>
            </w:r>
            <w:r w:rsidR="00235E16">
              <w:rPr>
                <w:lang w:eastAsia="en-US"/>
              </w:rPr>
              <w:t>3.1.1)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Police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broadcasters*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lifeline utilities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newspapers*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Rural Fire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local offices of government agencies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hospital and health services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partner organisations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community groups and services including those for CALD communities, and for people with disabilities</w:t>
            </w:r>
          </w:p>
        </w:tc>
        <w:tc>
          <w:tcPr>
            <w:tcW w:w="567" w:type="dxa"/>
            <w:vMerge w:val="restart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Welfare Coordination Group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12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337"/>
      </w:tblGrid>
      <w:tr w:rsidR="008A1918" w:rsidRPr="008A1918" w:rsidTr="00521EFB">
        <w:tc>
          <w:tcPr>
            <w:tcW w:w="3369" w:type="dxa"/>
          </w:tcPr>
          <w:p w:rsidR="008A1918" w:rsidRPr="008A1918" w:rsidRDefault="008A1918" w:rsidP="00107D37">
            <w:pPr>
              <w:pStyle w:val="Appendixsubheading"/>
              <w:rPr>
                <w:rFonts w:eastAsia="Times New Roman"/>
              </w:rPr>
            </w:pPr>
            <w:r w:rsidRPr="008A1918">
              <w:rPr>
                <w:rFonts w:eastAsia="Times New Roman"/>
              </w:rPr>
              <w:t>Planning and or/setting up</w:t>
            </w:r>
          </w:p>
        </w:tc>
        <w:tc>
          <w:tcPr>
            <w:tcW w:w="7337" w:type="dxa"/>
            <w:vAlign w:val="bottom"/>
          </w:tcPr>
          <w:p w:rsidR="008A1918" w:rsidRPr="008A1918" w:rsidRDefault="008A1918" w:rsidP="00E24558">
            <w:r w:rsidRPr="008A1918">
              <w:t xml:space="preserve">(see </w:t>
            </w:r>
            <w:r w:rsidR="007563CC">
              <w:t xml:space="preserve">section </w:t>
            </w:r>
            <w:r w:rsidR="00E24558">
              <w:t xml:space="preserve">3.3 </w:t>
            </w:r>
            <w:r w:rsidR="00E24558" w:rsidRPr="00107D37">
              <w:rPr>
                <w:rStyle w:val="Sectionname"/>
              </w:rPr>
              <w:t>Planning and setting up</w:t>
            </w:r>
            <w:r w:rsidR="00E24558">
              <w:t>)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  <w:gridCol w:w="567"/>
      </w:tblGrid>
      <w:tr w:rsidR="008A1918" w:rsidRPr="008A1918" w:rsidTr="00521EFB"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 xml:space="preserve">Tasks completed: (Locations and people identified in this section are available </w:t>
            </w:r>
            <w:r w:rsidRPr="008A1918">
              <w:rPr>
                <w:b/>
                <w:color w:val="FFFFFF"/>
                <w:highlight w:val="green"/>
                <w:lang w:eastAsia="en-US"/>
              </w:rPr>
              <w:t>[insert location here]</w:t>
            </w:r>
            <w:r w:rsidRPr="008A1918">
              <w:rPr>
                <w:b/>
                <w:color w:val="FFFFFF"/>
                <w:lang w:eastAsia="en-US"/>
              </w:rPr>
              <w:t>)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initial PIM team is identified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workspace default location is identified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Manager will have messages via the national warning system forwarded to them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workspace back-up locations are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spokespeople are identified and trained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media conference default location is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pool is identified for any required rosters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media conference back-up locations are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member details are updated every 3 months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information point default locations are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personnel have emergency plans for home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information point back-up locations are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means of communication set up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information point liaison people are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remote access capability set up, including website access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helpline liaison person is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hard copies &amp; USBs of required documents set up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required resources have been sourced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initial response back-up team members identified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response resource boxes have been set up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8A1918" w:rsidRPr="008A1918" w:rsidTr="00521EFB">
        <w:tc>
          <w:tcPr>
            <w:tcW w:w="5353" w:type="dxa"/>
          </w:tcPr>
          <w:p w:rsidR="008A1918" w:rsidRPr="008A1918" w:rsidRDefault="008A1918" w:rsidP="008A1918">
            <w:pPr>
              <w:keepNext/>
              <w:keepLines/>
              <w:spacing w:before="200" w:line="240" w:lineRule="auto"/>
              <w:rPr>
                <w:rFonts w:eastAsia="Times New Roman"/>
                <w:b/>
                <w:bCs/>
                <w:color w:val="005A9B"/>
                <w:sz w:val="24"/>
                <w:szCs w:val="20"/>
              </w:rPr>
            </w:pPr>
            <w:r w:rsidRPr="008A1918">
              <w:rPr>
                <w:rFonts w:eastAsia="Times New Roman"/>
                <w:b/>
                <w:bCs/>
                <w:color w:val="005A9B"/>
                <w:sz w:val="24"/>
                <w:szCs w:val="20"/>
              </w:rPr>
              <w:t>Developing processes and documentation</w:t>
            </w:r>
          </w:p>
        </w:tc>
        <w:tc>
          <w:tcPr>
            <w:tcW w:w="5353" w:type="dxa"/>
            <w:vAlign w:val="bottom"/>
          </w:tcPr>
          <w:p w:rsidR="008A1918" w:rsidRPr="008A1918" w:rsidRDefault="008A1918" w:rsidP="00117650">
            <w:r w:rsidRPr="008A1918">
              <w:t xml:space="preserve">(see </w:t>
            </w:r>
            <w:r w:rsidR="007563CC">
              <w:t xml:space="preserve">section </w:t>
            </w:r>
            <w:r w:rsidR="00117650">
              <w:t xml:space="preserve">3.4 </w:t>
            </w:r>
            <w:r w:rsidR="00117650" w:rsidRPr="00107D37">
              <w:rPr>
                <w:rStyle w:val="Sectionname"/>
              </w:rPr>
              <w:t>Developing processes and supporting documentation</w:t>
            </w:r>
            <w:r w:rsidR="00117650">
              <w:t>)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  <w:gridCol w:w="567"/>
      </w:tblGrid>
      <w:tr w:rsidR="008A1918" w:rsidRPr="008A1918" w:rsidTr="00521EFB"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Documentation and processes developed: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contact database (see above)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drafts of key messages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Readiness checklist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descriptions of duties for PIM team members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Response checklist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required resources list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Response procedure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role descriptions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145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monitoring and evaluation process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37"/>
      </w:tblGrid>
      <w:tr w:rsidR="008A1918" w:rsidRPr="008A1918" w:rsidTr="00521EFB">
        <w:trPr>
          <w:trHeight w:val="144"/>
        </w:trPr>
        <w:tc>
          <w:tcPr>
            <w:tcW w:w="3369" w:type="dxa"/>
          </w:tcPr>
          <w:p w:rsidR="008A1918" w:rsidRPr="008A1918" w:rsidRDefault="008A1918" w:rsidP="008A1918">
            <w:pPr>
              <w:keepNext/>
              <w:keepLines/>
              <w:spacing w:before="200" w:line="240" w:lineRule="auto"/>
              <w:rPr>
                <w:rFonts w:eastAsia="Times New Roman"/>
                <w:b/>
                <w:bCs/>
                <w:color w:val="005A9B"/>
                <w:sz w:val="24"/>
                <w:szCs w:val="20"/>
              </w:rPr>
            </w:pPr>
            <w:r w:rsidRPr="008A1918">
              <w:rPr>
                <w:rFonts w:eastAsia="Times New Roman"/>
                <w:b/>
                <w:bCs/>
                <w:color w:val="005A9B"/>
                <w:sz w:val="24"/>
                <w:szCs w:val="20"/>
              </w:rPr>
              <w:t>Training and development</w:t>
            </w:r>
          </w:p>
        </w:tc>
        <w:tc>
          <w:tcPr>
            <w:tcW w:w="7337" w:type="dxa"/>
            <w:vAlign w:val="bottom"/>
          </w:tcPr>
          <w:p w:rsidR="008A1918" w:rsidRPr="008A1918" w:rsidRDefault="008A1918" w:rsidP="00A2506D">
            <w:r w:rsidRPr="008A1918">
              <w:t>(see</w:t>
            </w:r>
            <w:r w:rsidR="007563CC">
              <w:t xml:space="preserve"> section</w:t>
            </w:r>
            <w:r w:rsidRPr="008A1918">
              <w:t xml:space="preserve"> </w:t>
            </w:r>
            <w:r w:rsidR="00A2506D">
              <w:t xml:space="preserve">3.5 </w:t>
            </w:r>
            <w:r w:rsidR="00A2506D" w:rsidRPr="00107D37">
              <w:rPr>
                <w:rStyle w:val="Sectionname"/>
              </w:rPr>
              <w:t>Training and development</w:t>
            </w:r>
            <w:r w:rsidR="00A2506D">
              <w:t>)</w:t>
            </w:r>
            <w:r w:rsidRPr="008A1918">
              <w:t xml:space="preserve"> 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  <w:gridCol w:w="567"/>
      </w:tblGrid>
      <w:tr w:rsidR="008A1918" w:rsidRPr="008A1918" w:rsidTr="00521EFB">
        <w:tc>
          <w:tcPr>
            <w:tcW w:w="10490" w:type="dxa"/>
            <w:gridSpan w:val="4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6" w:space="0" w:color="005A9B" w:themeColor="background2"/>
              <w:right w:val="single" w:sz="12" w:space="0" w:color="005A9B" w:themeColor="background2"/>
            </w:tcBorders>
            <w:shd w:val="clear" w:color="auto" w:fill="005A9B" w:themeFill="background2"/>
          </w:tcPr>
          <w:p w:rsidR="008A1918" w:rsidRPr="008A1918" w:rsidRDefault="008A1918" w:rsidP="008A1918">
            <w:pPr>
              <w:spacing w:before="60" w:after="60" w:line="240" w:lineRule="auto"/>
              <w:rPr>
                <w:b/>
                <w:color w:val="FFFFFF"/>
                <w:lang w:eastAsia="en-US"/>
              </w:rPr>
            </w:pPr>
            <w:r w:rsidRPr="008A1918">
              <w:rPr>
                <w:b/>
                <w:color w:val="FFFFFF"/>
                <w:lang w:eastAsia="en-US"/>
              </w:rPr>
              <w:t>Training tasks carried out:</w:t>
            </w:r>
          </w:p>
        </w:tc>
      </w:tr>
      <w:tr w:rsidR="008A1918" w:rsidRPr="008A1918" w:rsidTr="00521EFB">
        <w:trPr>
          <w:trHeight w:val="220"/>
        </w:trPr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skill gaps are identified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PIM personnel participating in exercises  </w:t>
            </w:r>
          </w:p>
        </w:tc>
        <w:tc>
          <w:tcPr>
            <w:tcW w:w="567" w:type="dxa"/>
            <w:tcBorders>
              <w:top w:val="single" w:sz="6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 xml:space="preserve">potential programmes by CDEM and external organisations  are identified 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PIM training and development programmes for individual personnel developed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  <w:tr w:rsidR="008A1918" w:rsidRPr="008A1918" w:rsidTr="00521EFB">
        <w:trPr>
          <w:trHeight w:val="47"/>
        </w:trPr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workshops for region PIM organised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5A9B" w:themeColor="background2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  <w:r w:rsidRPr="008A1918">
              <w:rPr>
                <w:lang w:eastAsia="en-US"/>
              </w:rPr>
              <w:t>mentoring/shadowing exchanges organised</w:t>
            </w:r>
          </w:p>
        </w:tc>
        <w:tc>
          <w:tcPr>
            <w:tcW w:w="567" w:type="dxa"/>
            <w:tcBorders>
              <w:top w:val="single" w:sz="12" w:space="0" w:color="005A9B" w:themeColor="background2"/>
              <w:left w:val="single" w:sz="6" w:space="0" w:color="005A9B" w:themeColor="background2"/>
              <w:bottom w:val="single" w:sz="12" w:space="0" w:color="005A9B" w:themeColor="background2"/>
              <w:right w:val="single" w:sz="12" w:space="0" w:color="005A9B" w:themeColor="background2"/>
            </w:tcBorders>
          </w:tcPr>
          <w:p w:rsidR="008A1918" w:rsidRPr="008A1918" w:rsidRDefault="008A1918" w:rsidP="008A1918">
            <w:pPr>
              <w:spacing w:before="60" w:after="60" w:line="240" w:lineRule="auto"/>
              <w:rPr>
                <w:lang w:eastAsia="en-US"/>
              </w:rPr>
            </w:pPr>
          </w:p>
        </w:tc>
      </w:tr>
    </w:tbl>
    <w:p w:rsidR="00E34C63" w:rsidRDefault="00E34C63" w:rsidP="00107D37">
      <w:pPr>
        <w:pStyle w:val="Tinyline"/>
      </w:pPr>
    </w:p>
    <w:sectPr w:rsidR="00E34C63" w:rsidSect="00615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680" w:bottom="720" w:left="737" w:header="425" w:footer="3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8" w:rsidRDefault="00201CE8">
      <w:r>
        <w:separator/>
      </w:r>
    </w:p>
    <w:p w:rsidR="00201CE8" w:rsidRDefault="00201CE8"/>
  </w:endnote>
  <w:endnote w:type="continuationSeparator" w:id="0">
    <w:p w:rsidR="00201CE8" w:rsidRDefault="00201CE8">
      <w:r>
        <w:continuationSeparator/>
      </w:r>
    </w:p>
    <w:p w:rsidR="00201CE8" w:rsidRDefault="0020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AE641C" w:rsidP="00C66CD5">
    <w:pPr>
      <w:pStyle w:val="MCDEMfooter"/>
      <w:tabs>
        <w:tab w:val="clear" w:pos="4820"/>
        <w:tab w:val="right" w:pos="10490"/>
      </w:tabs>
    </w:pPr>
    <w:r>
      <w:t>PIM Readiness checklist</w:t>
    </w:r>
    <w:r w:rsidR="00201CE8">
      <w:tab/>
      <w:t xml:space="preserve">Page </w:t>
    </w:r>
    <w:r w:rsidR="00201CE8">
      <w:fldChar w:fldCharType="begin"/>
    </w:r>
    <w:r w:rsidR="00201CE8">
      <w:instrText xml:space="preserve"> PAGE   \* MERGEFORMAT </w:instrText>
    </w:r>
    <w:r w:rsidR="00201CE8">
      <w:fldChar w:fldCharType="separate"/>
    </w:r>
    <w:r w:rsidR="000F07CA">
      <w:rPr>
        <w:noProof/>
      </w:rPr>
      <w:t>1</w:t>
    </w:r>
    <w:r w:rsidR="00201CE8">
      <w:rPr>
        <w:noProof/>
      </w:rPr>
      <w:fldChar w:fldCharType="end"/>
    </w:r>
    <w:r w:rsidR="00201CE8">
      <w:t xml:space="preserve"> of </w:t>
    </w:r>
    <w:r w:rsidR="000F07CA">
      <w:fldChar w:fldCharType="begin"/>
    </w:r>
    <w:r w:rsidR="000F07CA">
      <w:instrText xml:space="preserve"> NUMPAGES   \* MERGEFORMAT </w:instrText>
    </w:r>
    <w:r w:rsidR="000F07CA">
      <w:fldChar w:fldCharType="separate"/>
    </w:r>
    <w:r w:rsidR="000F07CA">
      <w:rPr>
        <w:noProof/>
      </w:rPr>
      <w:t>2</w:t>
    </w:r>
    <w:r w:rsidR="000F07CA">
      <w:rPr>
        <w:noProof/>
      </w:rPr>
      <w:fldChar w:fldCharType="end"/>
    </w:r>
  </w:p>
  <w:p w:rsidR="00201CE8" w:rsidRDefault="00201CE8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0" w:rsidRDefault="00F10FE0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1501B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 \* MERGEFORMAT ">
      <w:r w:rsidR="00BA1C29">
        <w:rPr>
          <w:noProof/>
        </w:rPr>
        <w:t>3</w:t>
      </w:r>
    </w:fldSimple>
  </w:p>
  <w:p w:rsidR="00201CE8" w:rsidRPr="0036314E" w:rsidRDefault="00F10FE0" w:rsidP="0036314E">
    <w:pPr>
      <w:pStyle w:val="MCDEMfooter"/>
      <w:tabs>
        <w:tab w:val="clear" w:pos="4820"/>
        <w:tab w:val="right" w:pos="893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8" w:rsidRDefault="00201CE8">
      <w:r>
        <w:separator/>
      </w:r>
    </w:p>
    <w:p w:rsidR="00201CE8" w:rsidRDefault="00201CE8"/>
  </w:footnote>
  <w:footnote w:type="continuationSeparator" w:id="0">
    <w:p w:rsidR="00201CE8" w:rsidRDefault="00201CE8">
      <w:r>
        <w:continuationSeparator/>
      </w:r>
    </w:p>
    <w:p w:rsidR="00201CE8" w:rsidRDefault="00201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201CE8" w:rsidP="00FC53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0F07CA" w:rsidP="00C02F50">
    <w:pPr>
      <w:pStyle w:val="MCDEMHeader"/>
    </w:pPr>
    <w:sdt>
      <w:sdtPr>
        <w:id w:val="-3906630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1CE8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19D"/>
    <w:multiLevelType w:val="multilevel"/>
    <w:tmpl w:val="45EE4BC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B6B6C"/>
    <w:multiLevelType w:val="multilevel"/>
    <w:tmpl w:val="9E407B34"/>
    <w:lvl w:ilvl="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hint="default"/>
      </w:rPr>
    </w:lvl>
  </w:abstractNum>
  <w:abstractNum w:abstractNumId="6">
    <w:nsid w:val="33F27734"/>
    <w:multiLevelType w:val="multilevel"/>
    <w:tmpl w:val="885250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C43DCA"/>
    <w:multiLevelType w:val="multilevel"/>
    <w:tmpl w:val="34A4C826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>
    <w:nsid w:val="7D661627"/>
    <w:multiLevelType w:val="multilevel"/>
    <w:tmpl w:val="CF94F918"/>
    <w:lvl w:ilvl="0">
      <w:start w:val="1"/>
      <w:numFmt w:val="bullet"/>
      <w:pStyle w:val="Bullet"/>
      <w:lvlText w:val=""/>
      <w:lvlJc w:val="left"/>
      <w:pPr>
        <w:ind w:left="765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00" w:hanging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9"/>
  </w:num>
  <w:num w:numId="14">
    <w:abstractNumId w:val="3"/>
  </w:num>
  <w:num w:numId="15">
    <w:abstractNumId w:val="4"/>
  </w:num>
  <w:num w:numId="16">
    <w:abstractNumId w:val="5"/>
  </w:num>
  <w:num w:numId="17">
    <w:abstractNumId w:val="2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8576C"/>
    <w:rsid w:val="000C3B55"/>
    <w:rsid w:val="000D77B4"/>
    <w:rsid w:val="000F07CA"/>
    <w:rsid w:val="000F450C"/>
    <w:rsid w:val="0010308E"/>
    <w:rsid w:val="00107D37"/>
    <w:rsid w:val="00117650"/>
    <w:rsid w:val="001354BE"/>
    <w:rsid w:val="00136DE4"/>
    <w:rsid w:val="00150E9B"/>
    <w:rsid w:val="0015269F"/>
    <w:rsid w:val="0015555B"/>
    <w:rsid w:val="00177D0B"/>
    <w:rsid w:val="001904C0"/>
    <w:rsid w:val="001B1ACD"/>
    <w:rsid w:val="001D23CD"/>
    <w:rsid w:val="001D7F2C"/>
    <w:rsid w:val="001F5A7D"/>
    <w:rsid w:val="00201CE8"/>
    <w:rsid w:val="0020574E"/>
    <w:rsid w:val="00222C24"/>
    <w:rsid w:val="00230A62"/>
    <w:rsid w:val="00233991"/>
    <w:rsid w:val="00235E16"/>
    <w:rsid w:val="002449FE"/>
    <w:rsid w:val="0026106B"/>
    <w:rsid w:val="002A1064"/>
    <w:rsid w:val="002A6AFF"/>
    <w:rsid w:val="002A78B1"/>
    <w:rsid w:val="002B45E3"/>
    <w:rsid w:val="002B582A"/>
    <w:rsid w:val="002E40F7"/>
    <w:rsid w:val="002E588A"/>
    <w:rsid w:val="00314038"/>
    <w:rsid w:val="0036314E"/>
    <w:rsid w:val="00365590"/>
    <w:rsid w:val="00392847"/>
    <w:rsid w:val="00393029"/>
    <w:rsid w:val="003B400C"/>
    <w:rsid w:val="003C1BFD"/>
    <w:rsid w:val="003C20DB"/>
    <w:rsid w:val="003D104B"/>
    <w:rsid w:val="003E7E8C"/>
    <w:rsid w:val="0042069D"/>
    <w:rsid w:val="00421F26"/>
    <w:rsid w:val="00426F26"/>
    <w:rsid w:val="00437CFA"/>
    <w:rsid w:val="00456254"/>
    <w:rsid w:val="00462ABA"/>
    <w:rsid w:val="0046551A"/>
    <w:rsid w:val="00491772"/>
    <w:rsid w:val="0049212A"/>
    <w:rsid w:val="004A6291"/>
    <w:rsid w:val="004E70BF"/>
    <w:rsid w:val="004E738C"/>
    <w:rsid w:val="005104F9"/>
    <w:rsid w:val="00595831"/>
    <w:rsid w:val="005C321D"/>
    <w:rsid w:val="005D3DFF"/>
    <w:rsid w:val="005F6F97"/>
    <w:rsid w:val="006130DA"/>
    <w:rsid w:val="0061501B"/>
    <w:rsid w:val="00621243"/>
    <w:rsid w:val="0063044C"/>
    <w:rsid w:val="006628C8"/>
    <w:rsid w:val="006842A2"/>
    <w:rsid w:val="006F05B4"/>
    <w:rsid w:val="00704578"/>
    <w:rsid w:val="00744EAE"/>
    <w:rsid w:val="007474EC"/>
    <w:rsid w:val="00750BB9"/>
    <w:rsid w:val="007563CC"/>
    <w:rsid w:val="007808B9"/>
    <w:rsid w:val="007C4EA2"/>
    <w:rsid w:val="007C6BB5"/>
    <w:rsid w:val="007E37EF"/>
    <w:rsid w:val="0080697E"/>
    <w:rsid w:val="00841017"/>
    <w:rsid w:val="008512F5"/>
    <w:rsid w:val="00855E2C"/>
    <w:rsid w:val="00865C81"/>
    <w:rsid w:val="00875550"/>
    <w:rsid w:val="008A1918"/>
    <w:rsid w:val="008A78F7"/>
    <w:rsid w:val="008B0BA0"/>
    <w:rsid w:val="008B3F30"/>
    <w:rsid w:val="008C2340"/>
    <w:rsid w:val="008C4590"/>
    <w:rsid w:val="008E3399"/>
    <w:rsid w:val="008F6B64"/>
    <w:rsid w:val="009025C3"/>
    <w:rsid w:val="0095618F"/>
    <w:rsid w:val="00967C54"/>
    <w:rsid w:val="009A0261"/>
    <w:rsid w:val="009A3F83"/>
    <w:rsid w:val="009F0B5E"/>
    <w:rsid w:val="009F1038"/>
    <w:rsid w:val="009F2B9F"/>
    <w:rsid w:val="009F3500"/>
    <w:rsid w:val="009F77E3"/>
    <w:rsid w:val="00A03883"/>
    <w:rsid w:val="00A04EA7"/>
    <w:rsid w:val="00A222D9"/>
    <w:rsid w:val="00A2434D"/>
    <w:rsid w:val="00A2506D"/>
    <w:rsid w:val="00A34306"/>
    <w:rsid w:val="00A46685"/>
    <w:rsid w:val="00A619D7"/>
    <w:rsid w:val="00A72849"/>
    <w:rsid w:val="00A738CA"/>
    <w:rsid w:val="00A82AEE"/>
    <w:rsid w:val="00A8467D"/>
    <w:rsid w:val="00A9386B"/>
    <w:rsid w:val="00AB2067"/>
    <w:rsid w:val="00AC56F4"/>
    <w:rsid w:val="00AE641C"/>
    <w:rsid w:val="00B447CF"/>
    <w:rsid w:val="00B5285B"/>
    <w:rsid w:val="00B574E6"/>
    <w:rsid w:val="00B766CE"/>
    <w:rsid w:val="00B81B01"/>
    <w:rsid w:val="00B90DB9"/>
    <w:rsid w:val="00B916D5"/>
    <w:rsid w:val="00BA1C29"/>
    <w:rsid w:val="00BE1704"/>
    <w:rsid w:val="00BF19A1"/>
    <w:rsid w:val="00C02F50"/>
    <w:rsid w:val="00C20BEF"/>
    <w:rsid w:val="00C34AC9"/>
    <w:rsid w:val="00C66CD5"/>
    <w:rsid w:val="00C94590"/>
    <w:rsid w:val="00CC2260"/>
    <w:rsid w:val="00CE262A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E000A2"/>
    <w:rsid w:val="00E22999"/>
    <w:rsid w:val="00E24558"/>
    <w:rsid w:val="00E25139"/>
    <w:rsid w:val="00E3125F"/>
    <w:rsid w:val="00E34C63"/>
    <w:rsid w:val="00E47613"/>
    <w:rsid w:val="00E542CC"/>
    <w:rsid w:val="00E56987"/>
    <w:rsid w:val="00E6354C"/>
    <w:rsid w:val="00E77589"/>
    <w:rsid w:val="00E95B21"/>
    <w:rsid w:val="00EA37B9"/>
    <w:rsid w:val="00EC53DE"/>
    <w:rsid w:val="00EC590E"/>
    <w:rsid w:val="00EE5352"/>
    <w:rsid w:val="00EE7B20"/>
    <w:rsid w:val="00EF7651"/>
    <w:rsid w:val="00F10FE0"/>
    <w:rsid w:val="00F27315"/>
    <w:rsid w:val="00F719F2"/>
    <w:rsid w:val="00F83D4D"/>
    <w:rsid w:val="00F84D16"/>
    <w:rsid w:val="00F902B1"/>
    <w:rsid w:val="00F9309F"/>
    <w:rsid w:val="00F940E7"/>
    <w:rsid w:val="00FA12B4"/>
    <w:rsid w:val="00FA2946"/>
    <w:rsid w:val="00FC536A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F83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D7F2C"/>
    <w:pPr>
      <w:keepNext/>
      <w:keepLines/>
      <w:pageBreakBefore/>
      <w:numPr>
        <w:numId w:val="1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1D7F2C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D7F2C"/>
    <w:pPr>
      <w:keepNext/>
      <w:keepLines/>
      <w:numPr>
        <w:ilvl w:val="2"/>
        <w:numId w:val="1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D7F2C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1D7F2C"/>
    <w:pPr>
      <w:numPr>
        <w:ilvl w:val="4"/>
        <w:numId w:val="1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2C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2C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2C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2C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9A3F83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F83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F83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F83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2C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2C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2C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2C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1D7F2C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1D7F2C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9A3F8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1D7F2C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D7F2C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D7F2C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7F2C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1D7F2C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1D7F2C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1D7F2C"/>
    <w:pPr>
      <w:numPr>
        <w:numId w:val="13"/>
      </w:numPr>
      <w:spacing w:before="60"/>
    </w:pPr>
  </w:style>
  <w:style w:type="paragraph" w:customStyle="1" w:styleId="Tablenormal0">
    <w:name w:val="Table normal"/>
    <w:basedOn w:val="Normal"/>
    <w:qFormat/>
    <w:rsid w:val="001D7F2C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1D7F2C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1D7F2C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1D7F2C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1D7F2C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1D7F2C"/>
    <w:pPr>
      <w:numPr>
        <w:numId w:val="14"/>
      </w:numPr>
      <w:spacing w:after="60" w:line="240" w:lineRule="auto"/>
      <w:contextualSpacing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1D7F2C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9A3F83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1D7F2C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9A3F83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1D7F2C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1D7F2C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9A3F83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1D7F2C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1D7F2C"/>
    <w:pPr>
      <w:numPr>
        <w:numId w:val="1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1D7F2C"/>
    <w:rPr>
      <w:sz w:val="40"/>
    </w:rPr>
  </w:style>
  <w:style w:type="paragraph" w:customStyle="1" w:styleId="Appendix">
    <w:name w:val="Appendix"/>
    <w:basedOn w:val="Normal"/>
    <w:next w:val="Normal"/>
    <w:qFormat/>
    <w:rsid w:val="001D7F2C"/>
    <w:pPr>
      <w:pageBreakBefore/>
      <w:numPr>
        <w:numId w:val="1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1D7F2C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1D7F2C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1D7F2C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1D7F2C"/>
    <w:pPr>
      <w:numPr>
        <w:numId w:val="17"/>
      </w:numPr>
    </w:pPr>
  </w:style>
  <w:style w:type="paragraph" w:customStyle="1" w:styleId="Legalsection">
    <w:name w:val="Legal section"/>
    <w:basedOn w:val="Normal"/>
    <w:next w:val="Normal"/>
    <w:semiHidden/>
    <w:qFormat/>
    <w:rsid w:val="001D7F2C"/>
    <w:pPr>
      <w:numPr>
        <w:numId w:val="1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107D37"/>
    <w:pPr>
      <w:numPr>
        <w:ilvl w:val="0"/>
        <w:numId w:val="0"/>
      </w:numPr>
      <w:pBdr>
        <w:bottom w:val="none" w:sz="0" w:space="0" w:color="auto"/>
      </w:pBdr>
      <w:spacing w:before="160" w:after="80" w:line="240" w:lineRule="auto"/>
    </w:pPr>
  </w:style>
  <w:style w:type="paragraph" w:customStyle="1" w:styleId="Tablesmall">
    <w:name w:val="Table small"/>
    <w:basedOn w:val="Tablenormal0"/>
    <w:qFormat/>
    <w:rsid w:val="001D7F2C"/>
    <w:rPr>
      <w:sz w:val="18"/>
      <w:szCs w:val="18"/>
    </w:rPr>
  </w:style>
  <w:style w:type="paragraph" w:customStyle="1" w:styleId="Tableheadingnotbold">
    <w:name w:val="Table heading not bold"/>
    <w:basedOn w:val="Normal"/>
    <w:qFormat/>
    <w:rsid w:val="00107D37"/>
    <w:pPr>
      <w:spacing w:before="60" w:after="60" w:line="240" w:lineRule="auto"/>
    </w:pPr>
    <w:rPr>
      <w:color w:val="FFFFFF"/>
      <w:lang w:eastAsia="en-US"/>
    </w:rPr>
  </w:style>
  <w:style w:type="character" w:customStyle="1" w:styleId="Sectionname">
    <w:name w:val="Section name"/>
    <w:basedOn w:val="DefaultParagraphFont"/>
    <w:uiPriority w:val="1"/>
    <w:qFormat/>
    <w:rsid w:val="00107D37"/>
    <w:rPr>
      <w:i/>
      <w:color w:val="000000" w:themeColor="text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F83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D7F2C"/>
    <w:pPr>
      <w:keepNext/>
      <w:keepLines/>
      <w:pageBreakBefore/>
      <w:numPr>
        <w:numId w:val="1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1D7F2C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D7F2C"/>
    <w:pPr>
      <w:keepNext/>
      <w:keepLines/>
      <w:numPr>
        <w:ilvl w:val="2"/>
        <w:numId w:val="1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D7F2C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1D7F2C"/>
    <w:pPr>
      <w:numPr>
        <w:ilvl w:val="4"/>
        <w:numId w:val="1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2C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2C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2C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2C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9A3F83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F83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F83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F83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2C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2C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2C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2C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1D7F2C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1D7F2C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9A3F8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1D7F2C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D7F2C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D7F2C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7F2C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1D7F2C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1D7F2C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1D7F2C"/>
    <w:pPr>
      <w:numPr>
        <w:numId w:val="13"/>
      </w:numPr>
      <w:spacing w:before="60"/>
    </w:pPr>
  </w:style>
  <w:style w:type="paragraph" w:customStyle="1" w:styleId="Tablenormal0">
    <w:name w:val="Table normal"/>
    <w:basedOn w:val="Normal"/>
    <w:qFormat/>
    <w:rsid w:val="001D7F2C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1D7F2C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1D7F2C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1D7F2C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1D7F2C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1D7F2C"/>
    <w:pPr>
      <w:numPr>
        <w:numId w:val="14"/>
      </w:numPr>
      <w:spacing w:after="60" w:line="240" w:lineRule="auto"/>
      <w:contextualSpacing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1D7F2C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9A3F83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1D7F2C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9A3F83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1D7F2C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1D7F2C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9A3F83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1D7F2C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1D7F2C"/>
    <w:pPr>
      <w:numPr>
        <w:numId w:val="1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1D7F2C"/>
    <w:rPr>
      <w:sz w:val="40"/>
    </w:rPr>
  </w:style>
  <w:style w:type="paragraph" w:customStyle="1" w:styleId="Appendix">
    <w:name w:val="Appendix"/>
    <w:basedOn w:val="Normal"/>
    <w:next w:val="Normal"/>
    <w:qFormat/>
    <w:rsid w:val="001D7F2C"/>
    <w:pPr>
      <w:pageBreakBefore/>
      <w:numPr>
        <w:numId w:val="1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1D7F2C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1D7F2C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1D7F2C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1D7F2C"/>
    <w:pPr>
      <w:numPr>
        <w:numId w:val="17"/>
      </w:numPr>
    </w:pPr>
  </w:style>
  <w:style w:type="paragraph" w:customStyle="1" w:styleId="Legalsection">
    <w:name w:val="Legal section"/>
    <w:basedOn w:val="Normal"/>
    <w:next w:val="Normal"/>
    <w:semiHidden/>
    <w:qFormat/>
    <w:rsid w:val="001D7F2C"/>
    <w:pPr>
      <w:numPr>
        <w:numId w:val="1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107D37"/>
    <w:pPr>
      <w:numPr>
        <w:ilvl w:val="0"/>
        <w:numId w:val="0"/>
      </w:numPr>
      <w:pBdr>
        <w:bottom w:val="none" w:sz="0" w:space="0" w:color="auto"/>
      </w:pBdr>
      <w:spacing w:before="160" w:after="80" w:line="240" w:lineRule="auto"/>
    </w:pPr>
  </w:style>
  <w:style w:type="paragraph" w:customStyle="1" w:styleId="Tablesmall">
    <w:name w:val="Table small"/>
    <w:basedOn w:val="Tablenormal0"/>
    <w:qFormat/>
    <w:rsid w:val="001D7F2C"/>
    <w:rPr>
      <w:sz w:val="18"/>
      <w:szCs w:val="18"/>
    </w:rPr>
  </w:style>
  <w:style w:type="paragraph" w:customStyle="1" w:styleId="Tableheadingnotbold">
    <w:name w:val="Table heading not bold"/>
    <w:basedOn w:val="Normal"/>
    <w:qFormat/>
    <w:rsid w:val="00107D37"/>
    <w:pPr>
      <w:spacing w:before="60" w:after="60" w:line="240" w:lineRule="auto"/>
    </w:pPr>
    <w:rPr>
      <w:color w:val="FFFFFF"/>
      <w:lang w:eastAsia="en-US"/>
    </w:rPr>
  </w:style>
  <w:style w:type="character" w:customStyle="1" w:styleId="Sectionname">
    <w:name w:val="Section name"/>
    <w:basedOn w:val="DefaultParagraphFont"/>
    <w:uiPriority w:val="1"/>
    <w:qFormat/>
    <w:rsid w:val="00107D37"/>
    <w:rPr>
      <w:i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95E3-D41B-4AA8-817E-5D859C46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creator>DIA</dc:creator>
  <cp:lastModifiedBy>greenwmi</cp:lastModifiedBy>
  <cp:revision>2</cp:revision>
  <cp:lastPrinted>2013-06-27T22:41:00Z</cp:lastPrinted>
  <dcterms:created xsi:type="dcterms:W3CDTF">2013-07-16T02:29:00Z</dcterms:created>
  <dcterms:modified xsi:type="dcterms:W3CDTF">2013-07-16T02:29:00Z</dcterms:modified>
</cp:coreProperties>
</file>